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0F520" w14:textId="5DEAA315" w:rsidR="00381E8E" w:rsidRPr="00381E8E" w:rsidRDefault="00381E8E" w:rsidP="00381E8E">
      <w:pPr>
        <w:rPr>
          <w:b/>
          <w:bCs/>
          <w:color w:val="00B050"/>
        </w:rPr>
      </w:pPr>
      <w:r w:rsidRPr="00381E8E">
        <w:rPr>
          <w:b/>
          <w:bCs/>
          <w:color w:val="00B050"/>
        </w:rPr>
        <w:t>Couve-flor Tibet – sugestão de adubação conforme a curva de absorção</w:t>
      </w:r>
    </w:p>
    <w:p w14:paraId="6AF14BDD" w14:textId="77777777" w:rsidR="00381E8E" w:rsidRDefault="00381E8E" w:rsidP="00381E8E">
      <w:r>
        <w:sym w:font="Symbol" w:char="F0B7"/>
      </w:r>
      <w:r>
        <w:t xml:space="preserve"> A maior parte dos nutrientes são acumulados nas folhas e com acúmulo intenso a partir da formação da inflorescência. Antecedendo a formação da inflorescência grande parte da adubação de cobertura deve ter sido aplicada; </w:t>
      </w:r>
    </w:p>
    <w:p w14:paraId="621C2DB1" w14:textId="77777777" w:rsidR="00381E8E" w:rsidRDefault="00381E8E" w:rsidP="00381E8E">
      <w:r>
        <w:sym w:font="Symbol" w:char="F0B7"/>
      </w:r>
      <w:r>
        <w:t xml:space="preserve"> Adubar 40 kg/ha de N via adubo de transplante e mais cinco coberturas (7, 17, 27, 37 e 47 dias após o transplante) com 40 a 60 kg/ha de N em cada aplicação; </w:t>
      </w:r>
    </w:p>
    <w:p w14:paraId="33D97023" w14:textId="77777777" w:rsidR="00381E8E" w:rsidRDefault="00381E8E" w:rsidP="00381E8E">
      <w:r>
        <w:sym w:font="Symbol" w:char="F0B7"/>
      </w:r>
      <w:r>
        <w:t xml:space="preserve"> Adubação potássica deve ser parcelada em transplante e mais cinco aplicações e finalizar até uma semana após o surgimento da inflorescência. Elevar o K do solo para 80 mg/dm³ e aplicar mais 496 kg/ha de K2O. Sugere-se aplicar 80 kg/ha de K2O no transplante e aos 7, 17, 27, 37 e 47. Em solos com K acima de 150 mg/dm³ essa adubação pode ser de 50 kg/ha de K2O no transplante e aos 7, 17, 27, 37 e 47.;</w:t>
      </w:r>
    </w:p>
    <w:p w14:paraId="6DE68F9E" w14:textId="2F78441A" w:rsidR="00381E8E" w:rsidRDefault="00381E8E" w:rsidP="00381E8E">
      <w:r>
        <w:t xml:space="preserve"> </w:t>
      </w:r>
      <w:r>
        <w:sym w:font="Symbol" w:char="F0B7"/>
      </w:r>
      <w:r>
        <w:t xml:space="preserve"> Considerar fertilidade do solo e textura para adubações fosfatadas que podem variar de 330 e 500 kg/ha de P2O5; </w:t>
      </w:r>
    </w:p>
    <w:p w14:paraId="70371144" w14:textId="4120839B" w:rsidR="00CE6B8A" w:rsidRPr="00381E8E" w:rsidRDefault="00381E8E" w:rsidP="00381E8E">
      <w:r>
        <w:sym w:font="Symbol" w:char="F0B7"/>
      </w:r>
      <w:r>
        <w:t xml:space="preserve"> Aplicar de 4 a 8 kg/ha de B com uso de fontes de solubilidade gradual em semeadura ou fontes solúveis parceladas; </w:t>
      </w:r>
      <w:r>
        <w:sym w:font="Symbol" w:char="F0B7"/>
      </w:r>
      <w:r>
        <w:t xml:space="preserve"> Aplicar de 3 a 6 kg/ha de Zn incorporado no canteiro antes da semeadura. As maiores doses devem ser aplicadas em solos argilosos ou com pH elevado.</w:t>
      </w:r>
    </w:p>
    <w:sectPr w:rsidR="00CE6B8A" w:rsidRPr="0038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8E"/>
    <w:rsid w:val="00381E8E"/>
    <w:rsid w:val="00C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EF10"/>
  <w15:chartTrackingRefBased/>
  <w15:docId w15:val="{EA693A0B-0804-46A3-A0FD-C70CCD3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José Pagnan</dc:creator>
  <cp:keywords/>
  <dc:description/>
  <cp:lastModifiedBy>Flavio José Pagnan</cp:lastModifiedBy>
  <cp:revision>1</cp:revision>
  <dcterms:created xsi:type="dcterms:W3CDTF">2020-08-19T14:27:00Z</dcterms:created>
  <dcterms:modified xsi:type="dcterms:W3CDTF">2020-08-19T14:32:00Z</dcterms:modified>
</cp:coreProperties>
</file>